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5107"/>
      </w:tblGrid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7"/>
        <w:gridCol w:w="4817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Curso Avançado – Padronização de Procedimentos na PCPR – Investigação de veículos roubados ou adulterados</w:t>
            </w:r>
          </w:p>
        </w:tc>
      </w:tr>
      <w:tr>
        <w:trPr>
          <w:trHeight w:val="420" w:hRule="atLeast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realização</w:t>
            </w:r>
            <w:r>
              <w:rPr>
                <w:rFonts w:eastAsia="Arial" w:cs="Arial" w:ascii="Arial" w:hAnsi="Arial"/>
                <w:sz w:val="24"/>
                <w:szCs w:val="24"/>
              </w:rPr>
              <w:t>: 11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de junho de 2024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>: das 09h às 18h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Local: Auditório da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LibreOffice/6.4.7.2$Linux_X86_64 LibreOffice_project/40$Build-2</Application>
  <Pages>1</Pages>
  <Words>113</Words>
  <Characters>759</Characters>
  <CharactersWithSpaces>849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2024-05-20T13:33:03Z</dcterms:modified>
  <cp:revision>17</cp:revision>
  <dc:subject/>
  <dc:title/>
</cp:coreProperties>
</file>